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DC" w:rsidRPr="00810DAE" w:rsidRDefault="00810DAE" w:rsidP="00810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AE">
        <w:rPr>
          <w:rFonts w:ascii="Times New Roman" w:hAnsi="Times New Roman" w:cs="Times New Roman"/>
          <w:b/>
          <w:sz w:val="28"/>
          <w:szCs w:val="28"/>
        </w:rPr>
        <w:t>Выступление председателя счетной палаты Тульской области на публичных слушаниях 19 ноября 2015 года «О заключении счетной палаты Тульской области на проект закона «О бюджете Тульской области на 2016 год и на плановый период 2017 и 2018 годов»</w:t>
      </w:r>
    </w:p>
    <w:p w:rsidR="00810DAE" w:rsidRDefault="00810DAE"/>
    <w:p w:rsidR="00810DAE" w:rsidRPr="00810DAE" w:rsidRDefault="00810DAE" w:rsidP="00810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DAE">
        <w:rPr>
          <w:rFonts w:ascii="Times New Roman" w:hAnsi="Times New Roman" w:cs="Times New Roman"/>
          <w:b/>
          <w:sz w:val="28"/>
          <w:szCs w:val="28"/>
        </w:rPr>
        <w:t>Уважаемые участники публичных слушаний!</w:t>
      </w:r>
    </w:p>
    <w:p w:rsidR="00810DAE" w:rsidRDefault="00810DAE" w:rsidP="0081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AE">
        <w:rPr>
          <w:rFonts w:ascii="Times New Roman" w:hAnsi="Times New Roman" w:cs="Times New Roman"/>
          <w:sz w:val="28"/>
          <w:szCs w:val="28"/>
        </w:rPr>
        <w:t>Счетной палатой Тульской области была проведена экспертиза проекта закона Тульской области «О бюджете Тульской области на 2016 год и на плановый период 2017 и 2018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DAE" w:rsidRDefault="00810DAE" w:rsidP="0081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счетная палата отмечает, что законопроект представлен в сроки, установленные законо</w:t>
      </w:r>
      <w:r w:rsidR="00F753C5">
        <w:rPr>
          <w:rFonts w:ascii="Times New Roman" w:hAnsi="Times New Roman" w:cs="Times New Roman"/>
          <w:sz w:val="28"/>
          <w:szCs w:val="28"/>
        </w:rPr>
        <w:t xml:space="preserve">дательством,  а также перечень, </w:t>
      </w:r>
      <w:r>
        <w:rPr>
          <w:rFonts w:ascii="Times New Roman" w:hAnsi="Times New Roman" w:cs="Times New Roman"/>
          <w:sz w:val="28"/>
          <w:szCs w:val="28"/>
        </w:rPr>
        <w:t xml:space="preserve"> содержание документов и материалов к Законопроекту соответствуют требования Бюджетного кодекса и статьям 15 и 16 Закона о бюджетном процессе в Тульской области.</w:t>
      </w:r>
    </w:p>
    <w:p w:rsidR="00810DAE" w:rsidRDefault="00810DAE" w:rsidP="0081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Счетная палата отмечает, что несмотря на то, что проект федерального бюджета разработан на один год, проект  бюджет</w:t>
      </w:r>
      <w:r w:rsidR="00EC19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области сформирован на трехлетний период, что </w:t>
      </w:r>
      <w:r w:rsidR="00EC192B">
        <w:rPr>
          <w:rFonts w:ascii="Times New Roman" w:hAnsi="Times New Roman" w:cs="Times New Roman"/>
          <w:sz w:val="28"/>
          <w:szCs w:val="28"/>
        </w:rPr>
        <w:t>дает возможность сохранить политику области на долгосрочное планирование по значимым приоритетам развития, а также заключать контр</w:t>
      </w:r>
      <w:r w:rsidR="000A5974">
        <w:rPr>
          <w:rFonts w:ascii="Times New Roman" w:hAnsi="Times New Roman" w:cs="Times New Roman"/>
          <w:sz w:val="28"/>
          <w:szCs w:val="28"/>
        </w:rPr>
        <w:t>акты на долгосрочный период. А это</w:t>
      </w:r>
      <w:r w:rsidR="00EC192B">
        <w:rPr>
          <w:rFonts w:ascii="Times New Roman" w:hAnsi="Times New Roman" w:cs="Times New Roman"/>
          <w:sz w:val="28"/>
          <w:szCs w:val="28"/>
        </w:rPr>
        <w:t xml:space="preserve"> в свою очередь даст возможность бизнесу выстраивать свои планы по развитию.</w:t>
      </w:r>
    </w:p>
    <w:p w:rsidR="00722600" w:rsidRPr="00287270" w:rsidRDefault="00722600" w:rsidP="00722600">
      <w:pPr>
        <w:tabs>
          <w:tab w:val="left" w:pos="2884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70">
        <w:rPr>
          <w:rFonts w:ascii="Times New Roman" w:hAnsi="Times New Roman" w:cs="Times New Roman"/>
          <w:sz w:val="28"/>
          <w:szCs w:val="28"/>
        </w:rPr>
        <w:t>Характерными особенностями формирования проекта бюджета области на 2016 год и на плановый период 2017 и 2018 годов являются:</w:t>
      </w:r>
    </w:p>
    <w:p w:rsidR="00722600" w:rsidRDefault="00722600" w:rsidP="007226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270">
        <w:rPr>
          <w:rFonts w:ascii="Times New Roman" w:hAnsi="Times New Roman" w:cs="Times New Roman"/>
          <w:sz w:val="28"/>
          <w:szCs w:val="28"/>
        </w:rPr>
        <w:t xml:space="preserve">Структура бюджета Тульской области такова, что более 85% всех расходов приходится на заработную плату, социальные выплаты, перечисления в фонд ОМС, дорожный фонд, обслуживание долга и помощь муниципальным образованиям. </w:t>
      </w:r>
    </w:p>
    <w:p w:rsidR="000A5974" w:rsidRDefault="000A5974" w:rsidP="007226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составляющая в структуре расходов невысокая и составляет в 2016 году – 5,9 %. Для сравнения в 2015 году – 9,1%.</w:t>
      </w:r>
    </w:p>
    <w:p w:rsidR="000A5974" w:rsidRDefault="000A5974" w:rsidP="000A5974">
      <w:pPr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70">
        <w:rPr>
          <w:rFonts w:ascii="Times New Roman" w:hAnsi="Times New Roman" w:cs="Times New Roman"/>
          <w:sz w:val="28"/>
          <w:szCs w:val="28"/>
        </w:rPr>
        <w:t xml:space="preserve">формирование бюджетных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Pr="00287270">
        <w:rPr>
          <w:rFonts w:ascii="Times New Roman" w:hAnsi="Times New Roman" w:cs="Times New Roman"/>
          <w:sz w:val="28"/>
          <w:szCs w:val="28"/>
        </w:rPr>
        <w:t>исходя из необходимости безусловного исполнения действующих расходных обязательств, а также из необходимости решения социально-экономических задач, в первую очередь поставленных в рамках Указов Президента Российской Федерации от 7 мая 2012 года;</w:t>
      </w:r>
    </w:p>
    <w:p w:rsidR="007A2804" w:rsidRPr="00287270" w:rsidRDefault="007A2804" w:rsidP="007A2804">
      <w:pPr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70">
        <w:rPr>
          <w:rFonts w:ascii="Times New Roman" w:hAnsi="Times New Roman" w:cs="Times New Roman"/>
          <w:sz w:val="28"/>
          <w:szCs w:val="28"/>
        </w:rPr>
        <w:t>формирование расходов по программно-целевому принципу на основе 23 государственных программ Тульской области;</w:t>
      </w:r>
    </w:p>
    <w:p w:rsidR="007A2804" w:rsidRDefault="007A2804" w:rsidP="007A2804">
      <w:pPr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70">
        <w:rPr>
          <w:rFonts w:ascii="Times New Roman" w:hAnsi="Times New Roman" w:cs="Times New Roman"/>
          <w:sz w:val="28"/>
          <w:szCs w:val="28"/>
        </w:rPr>
        <w:t>сохранение государственного долга Тульской области на экономически безопасном уровне.</w:t>
      </w:r>
    </w:p>
    <w:p w:rsidR="007A2804" w:rsidRPr="00287270" w:rsidRDefault="007A2804" w:rsidP="000A5974">
      <w:pPr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600" w:rsidRDefault="00722600" w:rsidP="007226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270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0A5974">
        <w:rPr>
          <w:rFonts w:ascii="Times New Roman" w:hAnsi="Times New Roman" w:cs="Times New Roman"/>
          <w:sz w:val="28"/>
          <w:szCs w:val="28"/>
        </w:rPr>
        <w:t xml:space="preserve">этом следует отметить, что при </w:t>
      </w:r>
      <w:r w:rsidRPr="00287270">
        <w:rPr>
          <w:rFonts w:ascii="Times New Roman" w:hAnsi="Times New Roman" w:cs="Times New Roman"/>
          <w:sz w:val="28"/>
          <w:szCs w:val="28"/>
        </w:rPr>
        <w:t xml:space="preserve">формировании бюджета области на 2016 не применялась индексация мер социальной поддержки. В тоже время принято решение об увеличении </w:t>
      </w:r>
      <w:r w:rsidR="000A5974">
        <w:rPr>
          <w:rFonts w:ascii="Times New Roman" w:hAnsi="Times New Roman" w:cs="Times New Roman"/>
          <w:sz w:val="28"/>
          <w:szCs w:val="28"/>
        </w:rPr>
        <w:t xml:space="preserve">с 1 февраля 2016 </w:t>
      </w:r>
      <w:r w:rsidRPr="00287270">
        <w:rPr>
          <w:rFonts w:ascii="Times New Roman" w:hAnsi="Times New Roman" w:cs="Times New Roman"/>
          <w:sz w:val="28"/>
          <w:szCs w:val="28"/>
        </w:rPr>
        <w:t>минимальной заработной платы работникам бюджетной сферы до 10,5 тыс. руб.,</w:t>
      </w:r>
      <w:r w:rsidR="000A5974">
        <w:rPr>
          <w:rFonts w:ascii="Times New Roman" w:hAnsi="Times New Roman" w:cs="Times New Roman"/>
          <w:sz w:val="28"/>
          <w:szCs w:val="28"/>
        </w:rPr>
        <w:t xml:space="preserve"> работникам внебюджетного сектора 12,5 тыс. рублей, с 1 августа 11 тыс. рублей и 13 тысяч рублей соответственно</w:t>
      </w:r>
      <w:r w:rsidRPr="002872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974" w:rsidRPr="00287270" w:rsidRDefault="000A5974" w:rsidP="000A5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70">
        <w:rPr>
          <w:rFonts w:ascii="Times New Roman" w:hAnsi="Times New Roman" w:cs="Times New Roman"/>
          <w:sz w:val="28"/>
          <w:szCs w:val="28"/>
        </w:rPr>
        <w:t>С целью более эффективного выравнивания бюджетной обеспеченности, снижения рисков несбалансированности местных бюджетов предусмотрена индексация критерия выравнивания финансовых возможностей поселений на уровень инфляции в 2016 году на 6,4 % и данный критерий остается неизменным на 2017-2018гг.</w:t>
      </w:r>
    </w:p>
    <w:p w:rsidR="00722600" w:rsidRDefault="00722600" w:rsidP="00722600">
      <w:pPr>
        <w:pStyle w:val="a9"/>
        <w:spacing w:after="120"/>
        <w:rPr>
          <w:spacing w:val="-4"/>
        </w:rPr>
      </w:pPr>
      <w:r w:rsidRPr="00722600">
        <w:rPr>
          <w:spacing w:val="-4"/>
        </w:rPr>
        <w:t xml:space="preserve">Согласно </w:t>
      </w:r>
      <w:r w:rsidR="000A5974">
        <w:rPr>
          <w:spacing w:val="-4"/>
        </w:rPr>
        <w:t>Законопроекту</w:t>
      </w:r>
      <w:r w:rsidR="003B34D8">
        <w:rPr>
          <w:spacing w:val="-4"/>
        </w:rPr>
        <w:t>,</w:t>
      </w:r>
      <w:r w:rsidRPr="00722600">
        <w:rPr>
          <w:spacing w:val="-4"/>
        </w:rPr>
        <w:t xml:space="preserve"> распределение в 2016 году субсидий бюджетам муниципальных образований утверждается правительством области в срок до 1 мая 2016 года. Указанная норма Законопроекта должна способствовать более эффективному использованию средств бюджета области и федерального бюджета. При этом следует отметить, что в целях обеспечения большей стабильности бюджетов муниципальных образований необходимо увеличивать количество целевых межбюджетных трансфертов местным бюджетам, распределяемых законом о бюджете области.</w:t>
      </w:r>
    </w:p>
    <w:p w:rsidR="00722600" w:rsidRDefault="007A2804" w:rsidP="0081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22600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722600">
        <w:rPr>
          <w:rFonts w:ascii="Times New Roman" w:hAnsi="Times New Roman" w:cs="Times New Roman"/>
          <w:sz w:val="28"/>
          <w:szCs w:val="28"/>
        </w:rPr>
        <w:t>Законопроекта счетная палата Тульской области отмечает следующие замечания и недостатки:</w:t>
      </w:r>
    </w:p>
    <w:p w:rsidR="00722600" w:rsidRDefault="00722600" w:rsidP="0081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0E8" w:rsidRDefault="006620E8" w:rsidP="006620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E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A2804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6620E8">
        <w:rPr>
          <w:rFonts w:ascii="Times New Roman" w:hAnsi="Times New Roman" w:cs="Times New Roman"/>
          <w:sz w:val="28"/>
          <w:szCs w:val="28"/>
        </w:rPr>
        <w:t>соответствия норм статей законопроекта Бюджетному кодексу Российской Федерации и иным нормативным правовым актам Счетная палата отмечает, что содержание статьи 20 Законопроекта не в полной мере соответствует требованиям статьи 93.2 БК РФ, а именно в указанной статье не определены условия и порядок предоставления бюджетных кредитов, а также ограничения по получателям.</w:t>
      </w:r>
    </w:p>
    <w:p w:rsidR="006620E8" w:rsidRDefault="006620E8" w:rsidP="006620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основных направлениях бюджетной политики в качестве одной из основных задач по повышению эффективности расходов бюджетов области заявлено повышение процедур проведения государственных закупок, в том числе путем внедрения казначейского сопровождения. При этом данная задача не нашла отражения в текстовых статьях Законопроекта, устанавливающие случаи, при которых применяется казначейское сопровождение.</w:t>
      </w:r>
    </w:p>
    <w:p w:rsidR="008B51E4" w:rsidRPr="008B51E4" w:rsidRDefault="008B51E4" w:rsidP="006620E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E4">
        <w:rPr>
          <w:rFonts w:ascii="Times New Roman" w:hAnsi="Times New Roman" w:cs="Times New Roman"/>
          <w:b/>
          <w:sz w:val="28"/>
          <w:szCs w:val="28"/>
        </w:rPr>
        <w:t>Реестр расходных обязательств</w:t>
      </w:r>
    </w:p>
    <w:p w:rsidR="00F31C4D" w:rsidRDefault="00F31C4D" w:rsidP="00F31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качестве основных задач по повышению эффективности расходов отмечено инвентаризация расходных обязательств. При этом представленный к Законопроекту реестр расходных обязательств Тульской области требует уточнения.</w:t>
      </w:r>
    </w:p>
    <w:p w:rsidR="001E7817" w:rsidRDefault="001E7817" w:rsidP="001E7817">
      <w:pPr>
        <w:pStyle w:val="ConsPlusNormal"/>
        <w:ind w:firstLine="540"/>
        <w:jc w:val="both"/>
      </w:pPr>
      <w:r>
        <w:lastRenderedPageBreak/>
        <w:t>Проверка и анализ представленного реестра расходных обязательств показал, что в подавляющем большинстве случаев при указании на нормативное правовое регулирование, определяющее финансовое обеспечение и порядок расходования средств</w:t>
      </w:r>
      <w:r w:rsidR="003B34D8">
        <w:t>,</w:t>
      </w:r>
      <w:r>
        <w:t xml:space="preserve"> отсутствуют ссылки на  соответствующие положения (статьи, части, пункты, подпункты, абзацы) законов и иных нормативных правовых актов, что является нарушением статьи 87 Бюджетного кодекса Российской Федерации.</w:t>
      </w:r>
    </w:p>
    <w:p w:rsidR="001E7817" w:rsidRDefault="001E7817" w:rsidP="001E7817">
      <w:pPr>
        <w:pStyle w:val="ConsPlusNormal"/>
        <w:ind w:firstLine="540"/>
        <w:jc w:val="both"/>
      </w:pPr>
      <w:r>
        <w:t>Реестр расходных обязательств Тульской области не содержит группы расходных полномочий, что не соответствует требованиям установленным Порядком к ведению реестра расходных обязательств.</w:t>
      </w:r>
    </w:p>
    <w:p w:rsidR="00D82D48" w:rsidRDefault="001E7817" w:rsidP="00D82D48">
      <w:pPr>
        <w:pStyle w:val="ConsPlusNormal"/>
        <w:ind w:firstLine="709"/>
        <w:jc w:val="both"/>
      </w:pPr>
      <w:r w:rsidRPr="008B51E4">
        <w:t xml:space="preserve">Анализ отраженных в реестре расходных обязательств, направленных на реализацию задач указов Президента Российской Федерации от 7 мая 2012 года, показал, что в реестре предусмотрены бюджетные ассигнования для реализации только 5 указов </w:t>
      </w:r>
      <w:r w:rsidR="008B51E4">
        <w:t xml:space="preserve">(в 2016 году - </w:t>
      </w:r>
      <w:r w:rsidRPr="008B51E4">
        <w:t xml:space="preserve"> на сумму 308,1 млн. руб.</w:t>
      </w:r>
      <w:r w:rsidR="008B51E4">
        <w:t xml:space="preserve">, в 2017 году </w:t>
      </w:r>
      <w:r w:rsidR="00F31C4D">
        <w:t>–262,4 млн. руб., в 2018 году – 269,6 млн. руб.)</w:t>
      </w:r>
      <w:r w:rsidR="00D82D48">
        <w:t>. Информация о расходных обязательствах на реализацию остальн</w:t>
      </w:r>
      <w:r w:rsidR="007A2804">
        <w:t xml:space="preserve">ых Указов </w:t>
      </w:r>
      <w:r w:rsidR="00D82D48">
        <w:t>в реестре расходных обязательств Тульской области отсутствует.</w:t>
      </w:r>
    </w:p>
    <w:p w:rsidR="001E7817" w:rsidRDefault="001E7817" w:rsidP="001E7817">
      <w:pPr>
        <w:pStyle w:val="ConsPlusNormal"/>
        <w:ind w:firstLine="709"/>
        <w:jc w:val="both"/>
      </w:pPr>
      <w:r>
        <w:t>При этом, согласно данным указанным в Основных направлениях бюджетной политики Тульской области на 2016 год и плановый период 2017 и 2018 годов, объем расходов на реализацию Указов Президента в 2015 году составляет 13,4 млрд. руб., что не соответствует данным реестра расходных обязательств.</w:t>
      </w:r>
    </w:p>
    <w:p w:rsidR="001E7817" w:rsidRDefault="001E7817" w:rsidP="001E7817">
      <w:pPr>
        <w:pStyle w:val="ConsPlusNormal"/>
        <w:numPr>
          <w:ilvl w:val="0"/>
          <w:numId w:val="1"/>
        </w:numPr>
        <w:ind w:left="0" w:firstLine="709"/>
        <w:jc w:val="both"/>
      </w:pPr>
      <w:r>
        <w:t>В ходе проверки реестра расходных обязательств Тульской области на 2016 год и плановый период 2017 и 2018 годов выявлены следующие группы недостатков и нарушений:</w:t>
      </w:r>
    </w:p>
    <w:p w:rsidR="001E7817" w:rsidRDefault="001E7817" w:rsidP="006620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1E4">
        <w:rPr>
          <w:rFonts w:ascii="Times New Roman" w:hAnsi="Times New Roman" w:cs="Times New Roman"/>
          <w:sz w:val="28"/>
          <w:szCs w:val="28"/>
        </w:rPr>
        <w:t xml:space="preserve">1) по отдельным </w:t>
      </w:r>
      <w:r w:rsidR="008B51E4">
        <w:rPr>
          <w:rFonts w:ascii="Times New Roman" w:hAnsi="Times New Roman" w:cs="Times New Roman"/>
          <w:sz w:val="28"/>
          <w:szCs w:val="28"/>
        </w:rPr>
        <w:t>расходным обязательствам</w:t>
      </w:r>
      <w:r w:rsidRPr="008B51E4">
        <w:rPr>
          <w:rFonts w:ascii="Times New Roman" w:hAnsi="Times New Roman" w:cs="Times New Roman"/>
          <w:sz w:val="28"/>
          <w:szCs w:val="28"/>
        </w:rPr>
        <w:t xml:space="preserve"> приведены ссылки на нормативные правовые акты, не являющиеся основанием возникновения данных </w:t>
      </w:r>
      <w:r w:rsidR="008B51E4">
        <w:rPr>
          <w:rFonts w:ascii="Times New Roman" w:hAnsi="Times New Roman" w:cs="Times New Roman"/>
          <w:sz w:val="28"/>
          <w:szCs w:val="28"/>
        </w:rPr>
        <w:t>расходных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7270" w:rsidRDefault="001E7817" w:rsidP="006620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51E4">
        <w:rPr>
          <w:rFonts w:ascii="Times New Roman" w:hAnsi="Times New Roman" w:cs="Times New Roman"/>
          <w:sz w:val="28"/>
          <w:szCs w:val="28"/>
        </w:rPr>
        <w:t xml:space="preserve">) указаны </w:t>
      </w:r>
      <w:r w:rsidR="008B51E4">
        <w:rPr>
          <w:rFonts w:ascii="Times New Roman" w:hAnsi="Times New Roman" w:cs="Times New Roman"/>
          <w:sz w:val="28"/>
          <w:szCs w:val="28"/>
        </w:rPr>
        <w:t>обязательства</w:t>
      </w:r>
      <w:r w:rsidR="000A5974">
        <w:rPr>
          <w:rFonts w:ascii="Times New Roman" w:hAnsi="Times New Roman" w:cs="Times New Roman"/>
          <w:sz w:val="28"/>
          <w:szCs w:val="28"/>
        </w:rPr>
        <w:t>,</w:t>
      </w:r>
      <w:r w:rsidRPr="008B51E4">
        <w:rPr>
          <w:rFonts w:ascii="Times New Roman" w:hAnsi="Times New Roman" w:cs="Times New Roman"/>
          <w:sz w:val="28"/>
          <w:szCs w:val="28"/>
        </w:rPr>
        <w:t xml:space="preserve"> не предусмотренные нормативными правовыми актами, регулирующими их функции, в правовых обоснованиях возникновения данных </w:t>
      </w:r>
      <w:r w:rsidR="008B51E4">
        <w:rPr>
          <w:rFonts w:ascii="Times New Roman" w:hAnsi="Times New Roman" w:cs="Times New Roman"/>
          <w:sz w:val="28"/>
          <w:szCs w:val="28"/>
        </w:rPr>
        <w:t>обязательств</w:t>
      </w:r>
      <w:r w:rsidRPr="008B51E4">
        <w:rPr>
          <w:rFonts w:ascii="Times New Roman" w:hAnsi="Times New Roman" w:cs="Times New Roman"/>
          <w:sz w:val="28"/>
          <w:szCs w:val="28"/>
        </w:rPr>
        <w:t xml:space="preserve"> приведены ссылки на нормативные правовые акты, устанавливающие компетенцию иных государственных органов. </w:t>
      </w:r>
    </w:p>
    <w:p w:rsidR="001E7817" w:rsidRPr="008B51E4" w:rsidRDefault="00287270" w:rsidP="006620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7817" w:rsidRPr="008B51E4">
        <w:rPr>
          <w:rFonts w:ascii="Times New Roman" w:hAnsi="Times New Roman" w:cs="Times New Roman"/>
          <w:sz w:val="28"/>
          <w:szCs w:val="28"/>
        </w:rPr>
        <w:t>) в наименованиях расходных обязательств приведены наименования подпрограмм государственных программ области, которые не раскрывают конкретные направления расходования средств бюджета области;</w:t>
      </w:r>
    </w:p>
    <w:p w:rsidR="001E7817" w:rsidRDefault="00287270" w:rsidP="006620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7817" w:rsidRPr="008B51E4">
        <w:rPr>
          <w:rFonts w:ascii="Times New Roman" w:hAnsi="Times New Roman" w:cs="Times New Roman"/>
          <w:sz w:val="28"/>
          <w:szCs w:val="28"/>
        </w:rPr>
        <w:t>) отражены расходные обязательства, в обоснование которых приведены нормативные правовые акты</w:t>
      </w:r>
      <w:r w:rsidR="000A5974">
        <w:rPr>
          <w:rFonts w:ascii="Times New Roman" w:hAnsi="Times New Roman" w:cs="Times New Roman"/>
          <w:sz w:val="28"/>
          <w:szCs w:val="28"/>
        </w:rPr>
        <w:t>,</w:t>
      </w:r>
      <w:r w:rsidR="001E7817" w:rsidRPr="008B51E4">
        <w:rPr>
          <w:rFonts w:ascii="Times New Roman" w:hAnsi="Times New Roman" w:cs="Times New Roman"/>
          <w:sz w:val="28"/>
          <w:szCs w:val="28"/>
        </w:rPr>
        <w:t xml:space="preserve"> утратившие силу</w:t>
      </w:r>
      <w:r w:rsidR="008B51E4">
        <w:rPr>
          <w:rFonts w:ascii="Times New Roman" w:hAnsi="Times New Roman" w:cs="Times New Roman"/>
          <w:sz w:val="28"/>
          <w:szCs w:val="28"/>
        </w:rPr>
        <w:t>.</w:t>
      </w:r>
    </w:p>
    <w:p w:rsidR="008B51E4" w:rsidRDefault="008B51E4" w:rsidP="008B51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3732C">
        <w:rPr>
          <w:rFonts w:ascii="Times New Roman" w:eastAsia="Calibri" w:hAnsi="Times New Roman" w:cs="Times New Roman"/>
          <w:b/>
          <w:sz w:val="28"/>
          <w:szCs w:val="28"/>
        </w:rPr>
        <w:t>По госпрограммам</w:t>
      </w:r>
    </w:p>
    <w:p w:rsidR="00287270" w:rsidRPr="0063732C" w:rsidRDefault="00287270" w:rsidP="008B51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1E4" w:rsidRDefault="008B51E4" w:rsidP="008B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паспортов госпрограмм, следует отметить, что объемы бюджетных ассигнований, 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Законопроектом на реализацию госпрограмм, по всем госпрограммам не соответствуют необходимым объемам финансирования, предусмотренным указанными паспортами госпрограмм</w:t>
      </w:r>
      <w:r w:rsidRPr="003E1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у Счетной палаты в части госпрограмм имеются следующие группы замечаний:</w:t>
      </w:r>
    </w:p>
    <w:p w:rsidR="008B51E4" w:rsidRDefault="008B51E4" w:rsidP="008B51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замечания в части качества паспортов госпрограмм (в паспортах государственных программ «Развитие образования Тульской области» и «Развитие малого и среднего предпринимательства в Тульской области» общие объемы необходимых средств не соответствуют сумме необходимых средств в разрезе подпрограмм (основных мероприятий); в паспорте государственной программы «Улучшение инвестиционного климата Тульской области» объемы необходимых средств не разбиты по основным мероприятиям);</w:t>
      </w:r>
    </w:p>
    <w:p w:rsidR="008B51E4" w:rsidRDefault="008B51E4" w:rsidP="008B51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замечания в части несоответствия наименований госпрограмм, подпрограмм (основных мероприятий) в Законопроекте наименованиям, отраженным в представленных паспортах госпрограмм (по 7 госпрограммам, из них по государственной программе «</w:t>
      </w:r>
      <w:r w:rsidRPr="00846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 жильем и услугами ЖКХ населения Тульской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4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по двум основным мероприятиям, предусмотренным паспортом госпрограммы, отражены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Законопроекте </w:t>
      </w:r>
      <w:r w:rsidRPr="00846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одной целевой статье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51E4" w:rsidRDefault="008B51E4" w:rsidP="008B51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</w:t>
      </w:r>
      <w:r w:rsidRPr="0084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 в части отсутствия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законопроекте </w:t>
      </w:r>
      <w:r w:rsidRPr="00846A1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ссигнований или </w:t>
      </w:r>
      <w:r w:rsidRPr="00846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оснований для включения 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</w:t>
      </w:r>
      <w:r w:rsidR="00FB5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конопроект (по 8 госпрограммам).</w:t>
      </w:r>
    </w:p>
    <w:p w:rsidR="008B51E4" w:rsidRDefault="008B51E4" w:rsidP="008B51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выше замечаний, а также замечаний, отраженных в заключениях по результатам финансово-экономической экспертизы госпрограмм (изменений в них), деятельность органов исполнительной власти области в части разработки госпрограмм следует оценивать</w:t>
      </w:r>
      <w:r w:rsidR="003B34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находящуюся на крайне низком уровне.</w:t>
      </w:r>
    </w:p>
    <w:p w:rsidR="008B51E4" w:rsidRDefault="008B51E4" w:rsidP="008B51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E4" w:rsidRPr="00571967" w:rsidRDefault="008B51E4" w:rsidP="008B51E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967">
        <w:rPr>
          <w:rFonts w:ascii="Times New Roman" w:eastAsia="Calibri" w:hAnsi="Times New Roman" w:cs="Times New Roman"/>
          <w:b/>
          <w:sz w:val="28"/>
          <w:szCs w:val="28"/>
        </w:rPr>
        <w:t>Законы Тульской области</w:t>
      </w:r>
    </w:p>
    <w:p w:rsidR="008B51E4" w:rsidRDefault="008B51E4" w:rsidP="008B5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Счетной палатой проведен анализ расчетов по финансированию законов Тульской области, по результатам которого установлено завышение расходов на реализацию Закона Тульской области «</w:t>
      </w:r>
      <w:r w:rsidRPr="00D34CA5">
        <w:rPr>
          <w:rFonts w:ascii="Times New Roman" w:eastAsia="Calibri" w:hAnsi="Times New Roman" w:cs="Times New Roman"/>
          <w:sz w:val="28"/>
          <w:szCs w:val="28"/>
        </w:rPr>
        <w:t>О мерах социальной поддержки отдельных категорий жителей Тульской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в части мер социальной поддержки </w:t>
      </w:r>
      <w:r w:rsidRPr="00D34CA5">
        <w:rPr>
          <w:rFonts w:ascii="Times New Roman" w:eastAsia="Calibri" w:hAnsi="Times New Roman" w:cs="Times New Roman"/>
          <w:sz w:val="28"/>
          <w:szCs w:val="28"/>
        </w:rPr>
        <w:t>инвалид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D34CA5">
        <w:rPr>
          <w:rFonts w:ascii="Times New Roman" w:eastAsia="Calibri" w:hAnsi="Times New Roman" w:cs="Times New Roman"/>
          <w:sz w:val="28"/>
          <w:szCs w:val="28"/>
        </w:rPr>
        <w:t xml:space="preserve"> и сем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D34CA5">
        <w:rPr>
          <w:rFonts w:ascii="Times New Roman" w:eastAsia="Calibri" w:hAnsi="Times New Roman" w:cs="Times New Roman"/>
          <w:sz w:val="28"/>
          <w:szCs w:val="28"/>
        </w:rPr>
        <w:t>, имеющи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34CA5">
        <w:rPr>
          <w:rFonts w:ascii="Times New Roman" w:eastAsia="Calibri" w:hAnsi="Times New Roman" w:cs="Times New Roman"/>
          <w:sz w:val="28"/>
          <w:szCs w:val="28"/>
        </w:rPr>
        <w:t xml:space="preserve"> детей-инвалидов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(указанная категория в 2015 году исключена из данного Закона), в следующих объемах:</w:t>
      </w:r>
    </w:p>
    <w:p w:rsidR="008B51E4" w:rsidRDefault="008B51E4" w:rsidP="008B51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на 2016 год – </w:t>
      </w:r>
      <w:r w:rsidR="000A5974">
        <w:rPr>
          <w:rFonts w:ascii="Times New Roman" w:eastAsia="Calibri" w:hAnsi="Times New Roman" w:cs="Times New Roman"/>
          <w:sz w:val="28"/>
          <w:szCs w:val="28"/>
        </w:rPr>
        <w:t>14, 2 млн.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8B51E4" w:rsidRDefault="003B34D8" w:rsidP="008B51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ab/>
        <w:t>на 2017 год – 14,8 млн.</w:t>
      </w:r>
      <w:r w:rsidR="008B51E4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8B51E4" w:rsidRDefault="003B34D8" w:rsidP="008B51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ab/>
        <w:t>на 2018 год – 15,5 млн.</w:t>
      </w:r>
      <w:r w:rsidR="008B51E4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8B51E4" w:rsidRDefault="008B51E4" w:rsidP="008B51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Планирование бюджетных ассигнований на недействующие расходные обязательства необоснованно завышает расходы бюджета области, тем самым, увеличивая дефицит бюджета, либо отвлекают средства бюджета от направления их на </w:t>
      </w:r>
      <w:r w:rsidRPr="00D61292">
        <w:rPr>
          <w:rFonts w:ascii="Times New Roman" w:eastAsia="Calibri" w:hAnsi="Times New Roman" w:cs="Times New Roman"/>
          <w:i/>
          <w:sz w:val="28"/>
          <w:szCs w:val="28"/>
        </w:rPr>
        <w:t>действующие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расходные обязательства.</w:t>
      </w:r>
    </w:p>
    <w:p w:rsidR="008B51E4" w:rsidRDefault="008B51E4" w:rsidP="008B51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целом расчеты по финансированию законов Тульской области в ряде случаев содержат некорректные формулировки, а также </w:t>
      </w:r>
      <w:r w:rsidRPr="004B5CDC">
        <w:rPr>
          <w:rFonts w:ascii="Times New Roman" w:eastAsia="Calibri" w:hAnsi="Times New Roman" w:cs="Times New Roman"/>
          <w:sz w:val="28"/>
          <w:szCs w:val="28"/>
        </w:rPr>
        <w:t>не позволя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4B5CDC">
        <w:rPr>
          <w:rFonts w:ascii="Times New Roman" w:eastAsia="Calibri" w:hAnsi="Times New Roman" w:cs="Times New Roman"/>
          <w:sz w:val="28"/>
          <w:szCs w:val="28"/>
        </w:rPr>
        <w:t xml:space="preserve">т с необходимой точностью проанализировать обоснованность включенных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Законопроект объемов бюджетных ассигнований. </w:t>
      </w:r>
      <w:r w:rsidRPr="004B5CDC">
        <w:rPr>
          <w:rFonts w:ascii="Times New Roman" w:eastAsia="Calibri" w:hAnsi="Times New Roman" w:cs="Times New Roman"/>
          <w:sz w:val="28"/>
          <w:szCs w:val="28"/>
        </w:rPr>
        <w:t xml:space="preserve">В связи с этим расчеты по финансированию законов Тульской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Pr="004B5CDC">
        <w:rPr>
          <w:rFonts w:ascii="Times New Roman" w:eastAsia="Calibri" w:hAnsi="Times New Roman" w:cs="Times New Roman"/>
          <w:sz w:val="28"/>
          <w:szCs w:val="28"/>
        </w:rPr>
        <w:t>целесообразно представлять в более детальном формате, что позволит повысить прозрачность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формирования бюджетных ассигнований на реализацию законов Тульской области.</w:t>
      </w:r>
    </w:p>
    <w:p w:rsidR="00F31C4D" w:rsidRPr="00F31C4D" w:rsidRDefault="00F31C4D" w:rsidP="00F31C4D">
      <w:pPr>
        <w:spacing w:before="100" w:beforeAutospacing="1" w:after="33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Долговая политика.</w:t>
      </w:r>
    </w:p>
    <w:p w:rsidR="00F31C4D" w:rsidRPr="00F31C4D" w:rsidRDefault="00F31C4D" w:rsidP="00F31C4D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4D">
        <w:rPr>
          <w:rFonts w:ascii="Times New Roman" w:eastAsia="Calibri" w:hAnsi="Times New Roman" w:cs="Times New Roman"/>
          <w:sz w:val="28"/>
          <w:szCs w:val="28"/>
        </w:rPr>
        <w:t>Проанализировав, показатели в части государственного долга Тульской области, Счетной палатой установлено, что при их формировании разработчики Законопроекта не полной мере учитывали положения Основных направлений бюджетной политики Тульской области на 2016 – 2018 годы, а именно:</w:t>
      </w:r>
    </w:p>
    <w:p w:rsidR="00F31C4D" w:rsidRPr="00F31C4D" w:rsidRDefault="00F31C4D" w:rsidP="00F31C4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31C4D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F31C4D">
        <w:rPr>
          <w:rFonts w:ascii="Times New Roman" w:eastAsia="Calibri" w:hAnsi="Times New Roman" w:cs="Times New Roman"/>
          <w:spacing w:val="-4"/>
          <w:sz w:val="28"/>
          <w:szCs w:val="28"/>
        </w:rPr>
        <w:tab/>
        <w:t>отсутствует равномерное распределение сумм погашения долговых обязательств по годам (в 2016 году – 11,2 млрд. рублей, в 2017-2018 годах – 7,5 и 3,8 млрд. рублей соответственно);</w:t>
      </w:r>
    </w:p>
    <w:p w:rsidR="00F31C4D" w:rsidRPr="00F31C4D" w:rsidRDefault="00F31C4D" w:rsidP="00F31C4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31C4D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F31C4D">
        <w:rPr>
          <w:rFonts w:ascii="Times New Roman" w:eastAsia="Calibri" w:hAnsi="Times New Roman" w:cs="Times New Roman"/>
          <w:spacing w:val="-4"/>
          <w:sz w:val="28"/>
          <w:szCs w:val="28"/>
        </w:rPr>
        <w:tab/>
        <w:t xml:space="preserve">замещение коммерческих кредитов бюджетными кредитами из федерального бюджета предусматривается только в 2016 году и только на пополнение остатков средств на счетах), при этом </w:t>
      </w:r>
      <w:r w:rsidRPr="00F31C4D">
        <w:rPr>
          <w:rFonts w:ascii="Times New Roman" w:eastAsia="Calibri" w:hAnsi="Times New Roman" w:cs="Times New Roman"/>
          <w:sz w:val="28"/>
          <w:szCs w:val="28"/>
        </w:rPr>
        <w:t>Законопроектом предполагается наращивание объемов привлечения банковских кредитов. Так в 2016 году сумма долга по банковским кредитам составит 9,1 млрд.</w:t>
      </w:r>
      <w:r w:rsidRPr="00F31C4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рублей, в 2017 году – 17,8 млрд. рублей, в 2018 году – 22,8 млрд. рублей.</w:t>
      </w:r>
    </w:p>
    <w:p w:rsidR="00F31C4D" w:rsidRPr="00F31C4D" w:rsidRDefault="00F31C4D" w:rsidP="00F31C4D">
      <w:pPr>
        <w:spacing w:before="120" w:after="0" w:line="27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C4D">
        <w:rPr>
          <w:rFonts w:ascii="Times New Roman" w:eastAsia="Calibri" w:hAnsi="Times New Roman" w:cs="Times New Roman"/>
          <w:sz w:val="28"/>
          <w:szCs w:val="28"/>
        </w:rPr>
        <w:t>Но, тем не менее, я хочу отметить, что показатели госдолга в 2016 – 2018 годах прогнозируется на относительно безопасном уровне и с соблюдением требований Бюджетного кодекса РФ.</w:t>
      </w:r>
    </w:p>
    <w:p w:rsidR="008B51E4" w:rsidRDefault="008B51E4" w:rsidP="008B51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C4D" w:rsidRDefault="00F31C4D" w:rsidP="008B51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Законопроекта и документов, составляющих основу формирования проекта бюджета области, дает основание сделать вывод о возможности принятия Законопроекта в первом чтении.</w:t>
      </w:r>
    </w:p>
    <w:p w:rsidR="008B51E4" w:rsidRDefault="008B51E4" w:rsidP="008B51E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E4" w:rsidRPr="008B51E4" w:rsidRDefault="008B51E4" w:rsidP="006620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DAE" w:rsidRDefault="00810DAE"/>
    <w:sectPr w:rsidR="00810DAE" w:rsidSect="0022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8B0" w:rsidRDefault="00AD38B0" w:rsidP="00F31C4D">
      <w:pPr>
        <w:spacing w:after="0" w:line="240" w:lineRule="auto"/>
      </w:pPr>
      <w:r>
        <w:separator/>
      </w:r>
    </w:p>
  </w:endnote>
  <w:endnote w:type="continuationSeparator" w:id="1">
    <w:p w:rsidR="00AD38B0" w:rsidRDefault="00AD38B0" w:rsidP="00F3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8B0" w:rsidRDefault="00AD38B0" w:rsidP="00F31C4D">
      <w:pPr>
        <w:spacing w:after="0" w:line="240" w:lineRule="auto"/>
      </w:pPr>
      <w:r>
        <w:separator/>
      </w:r>
    </w:p>
  </w:footnote>
  <w:footnote w:type="continuationSeparator" w:id="1">
    <w:p w:rsidR="00AD38B0" w:rsidRDefault="00AD38B0" w:rsidP="00F31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256"/>
    <w:multiLevelType w:val="hybridMultilevel"/>
    <w:tmpl w:val="2F00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D3471"/>
    <w:multiLevelType w:val="hybridMultilevel"/>
    <w:tmpl w:val="9D542C4C"/>
    <w:lvl w:ilvl="0" w:tplc="1DD4AB3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BA2B63"/>
    <w:multiLevelType w:val="hybridMultilevel"/>
    <w:tmpl w:val="83FA9C7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DAE"/>
    <w:rsid w:val="00052B09"/>
    <w:rsid w:val="00065ADC"/>
    <w:rsid w:val="000A5974"/>
    <w:rsid w:val="001D345D"/>
    <w:rsid w:val="001E7817"/>
    <w:rsid w:val="002239B9"/>
    <w:rsid w:val="00270593"/>
    <w:rsid w:val="00287270"/>
    <w:rsid w:val="003B34D8"/>
    <w:rsid w:val="006620E8"/>
    <w:rsid w:val="00722600"/>
    <w:rsid w:val="007A2804"/>
    <w:rsid w:val="00810DAE"/>
    <w:rsid w:val="008B51E4"/>
    <w:rsid w:val="009F640C"/>
    <w:rsid w:val="00AD38B0"/>
    <w:rsid w:val="00AF3039"/>
    <w:rsid w:val="00D82D48"/>
    <w:rsid w:val="00E9311E"/>
    <w:rsid w:val="00EC192B"/>
    <w:rsid w:val="00F00AF3"/>
    <w:rsid w:val="00F31C4D"/>
    <w:rsid w:val="00F753C5"/>
    <w:rsid w:val="00FB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E7817"/>
    <w:pPr>
      <w:ind w:left="720"/>
      <w:contextualSpacing/>
    </w:pPr>
  </w:style>
  <w:style w:type="paragraph" w:styleId="a4">
    <w:name w:val="footnote text"/>
    <w:aliases w:val=" Знак,Знак"/>
    <w:basedOn w:val="a"/>
    <w:link w:val="a5"/>
    <w:unhideWhenUsed/>
    <w:rsid w:val="00F31C4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F31C4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1C4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82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2D48"/>
    <w:rPr>
      <w:rFonts w:ascii="Segoe UI" w:hAnsi="Segoe UI" w:cs="Segoe UI"/>
      <w:sz w:val="18"/>
      <w:szCs w:val="18"/>
    </w:rPr>
  </w:style>
  <w:style w:type="paragraph" w:customStyle="1" w:styleId="a9">
    <w:name w:val="*ТЕКСТ*"/>
    <w:link w:val="aa"/>
    <w:qFormat/>
    <w:rsid w:val="007226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*ТЕКСТ* Знак"/>
    <w:link w:val="a9"/>
    <w:rsid w:val="007226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Plain Text"/>
    <w:basedOn w:val="a"/>
    <w:link w:val="ac"/>
    <w:rsid w:val="007226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7226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Indent"/>
    <w:basedOn w:val="a"/>
    <w:rsid w:val="007226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dsn</cp:lastModifiedBy>
  <cp:revision>2</cp:revision>
  <cp:lastPrinted>2015-11-19T07:36:00Z</cp:lastPrinted>
  <dcterms:created xsi:type="dcterms:W3CDTF">2015-11-19T13:41:00Z</dcterms:created>
  <dcterms:modified xsi:type="dcterms:W3CDTF">2015-11-19T13:41:00Z</dcterms:modified>
</cp:coreProperties>
</file>